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C60B" w14:textId="77777777" w:rsidR="002F0FD3" w:rsidRDefault="002F0FD3">
      <w:pPr>
        <w:pStyle w:val="1"/>
      </w:pPr>
      <w:bookmarkStart w:id="0" w:name="_GoBack"/>
      <w:bookmarkEnd w:id="0"/>
      <w:r>
        <w:t>Приказ Министерства труда и социальной защиты РФ от 23 июня 2020 г. N 365н</w:t>
      </w:r>
      <w:r>
        <w:br/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580н"</w:t>
      </w:r>
    </w:p>
    <w:p w14:paraId="10B0545D" w14:textId="77777777" w:rsidR="003B2A60" w:rsidRDefault="003B2A60"/>
    <w:p w14:paraId="57A12862" w14:textId="77777777" w:rsidR="002F0FD3" w:rsidRDefault="002F0FD3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6 части 1 статьи 18</w:t>
        </w:r>
      </w:hyperlink>
      <w:r>
        <w:t xml:space="preserve">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2016, N 27, ст. 4183) и </w:t>
      </w:r>
      <w:hyperlink r:id="rId8" w:history="1">
        <w:r>
          <w:rPr>
            <w:rStyle w:val="a4"/>
            <w:rFonts w:cs="Times New Roman CYR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3528), приказываю:</w:t>
      </w:r>
    </w:p>
    <w:p w14:paraId="5C972512" w14:textId="77777777" w:rsidR="002F0FD3" w:rsidRDefault="002F0FD3">
      <w:bookmarkStart w:id="1" w:name="sub_1"/>
      <w:r>
        <w:t xml:space="preserve">1. Внести изменения в </w:t>
      </w:r>
      <w:hyperlink r:id="rId10" w:history="1">
        <w:r>
          <w:rPr>
            <w:rStyle w:val="a4"/>
            <w:rFonts w:cs="Times New Roman CYR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Минтруда России от 10 декабря 2012 г. N 580н (зарегистрирован Министерством юстиции Российской Федерации 29 декабря 2012 г., регистрационный N 26440), с изменениями, внесенными приказами Министерства труда и социальной защиты Российской Федерации </w:t>
      </w:r>
      <w:hyperlink r:id="rId12" w:history="1">
        <w:r>
          <w:rPr>
            <w:rStyle w:val="a4"/>
            <w:rFonts w:cs="Times New Roman CYR"/>
          </w:rPr>
          <w:t>от 24 мая 2013 г. N 220н</w:t>
        </w:r>
      </w:hyperlink>
      <w:r>
        <w:t xml:space="preserve"> (зарегистрирован Министерством юстиции Российской Федерации 2 июля 2013 г., регистрационный N 28964), </w:t>
      </w:r>
      <w:hyperlink r:id="rId13" w:history="1">
        <w:r>
          <w:rPr>
            <w:rStyle w:val="a4"/>
            <w:rFonts w:cs="Times New Roman CYR"/>
          </w:rPr>
          <w:t>от 20 февраля 2014 г. N 103н</w:t>
        </w:r>
      </w:hyperlink>
      <w:r>
        <w:t xml:space="preserve"> (зарегистрирован Министерством юстиции Российской Федерации 15 мая 2014 г., регистрационный N 32284), </w:t>
      </w:r>
      <w:hyperlink r:id="rId14" w:history="1">
        <w:r>
          <w:rPr>
            <w:rStyle w:val="a4"/>
            <w:rFonts w:cs="Times New Roman CYR"/>
          </w:rPr>
          <w:t>от 29 апреля 2016 г. N 201н</w:t>
        </w:r>
      </w:hyperlink>
      <w:r>
        <w:t xml:space="preserve"> (зарегистрирован Министерством юстиции Российской Федерации 1 августа 2016 г., регистрационный N 43040), </w:t>
      </w:r>
      <w:hyperlink r:id="rId15" w:history="1">
        <w:r>
          <w:rPr>
            <w:rStyle w:val="a4"/>
            <w:rFonts w:cs="Times New Roman CYR"/>
          </w:rPr>
          <w:t>от 14 июля 2016 г. N 353н</w:t>
        </w:r>
      </w:hyperlink>
      <w:r>
        <w:t xml:space="preserve"> (зарегистрирован Министерством юстиции Российской Федерации 8 августа 2016 г., регистрационный N 43140), </w:t>
      </w:r>
      <w:hyperlink r:id="rId16" w:history="1">
        <w:r>
          <w:rPr>
            <w:rStyle w:val="a4"/>
            <w:rFonts w:cs="Times New Roman CYR"/>
          </w:rPr>
          <w:t>от 31 октября 2017 г. N 764н</w:t>
        </w:r>
      </w:hyperlink>
      <w:r>
        <w:t xml:space="preserve"> (зарегистрирован Министерством юстиции Российской Федерации 22 декабря 2017 г., регистрационный N 49402), </w:t>
      </w:r>
      <w:hyperlink r:id="rId17" w:history="1">
        <w:r>
          <w:rPr>
            <w:rStyle w:val="a4"/>
            <w:rFonts w:cs="Times New Roman CYR"/>
          </w:rPr>
          <w:t>от 31 августа 2018 г. N 570н</w:t>
        </w:r>
      </w:hyperlink>
      <w:r>
        <w:t xml:space="preserve"> (зарегистрирован Министерством юстиции Российской Федерации 21 сентября 2018 г., регистрационный N 52212), </w:t>
      </w:r>
      <w:hyperlink r:id="rId18" w:history="1">
        <w:r>
          <w:rPr>
            <w:rStyle w:val="a4"/>
            <w:rFonts w:cs="Times New Roman CYR"/>
          </w:rPr>
          <w:t>от 3 декабря 2018 г. N 764н</w:t>
        </w:r>
      </w:hyperlink>
      <w:r>
        <w:t xml:space="preserve"> (зарегистрирован Министерством юстиции Российской Федерации 17 января 2019 г., регистрационный N 53391),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14:paraId="2D760BD7" w14:textId="77777777" w:rsidR="002F0FD3" w:rsidRDefault="002F0FD3">
      <w:bookmarkStart w:id="2" w:name="sub_2"/>
      <w:bookmarkEnd w:id="1"/>
      <w:r>
        <w:t>2. Установить, что в 2020 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 года.</w:t>
      </w:r>
    </w:p>
    <w:p w14:paraId="24B10AF4" w14:textId="77777777" w:rsidR="002F0FD3" w:rsidRDefault="002F0FD3">
      <w:bookmarkStart w:id="3" w:name="sub_3"/>
      <w:bookmarkEnd w:id="2"/>
      <w:r>
        <w:t>3. Настоящий приказ действует до 31 декабря 2020 года.</w:t>
      </w:r>
    </w:p>
    <w:bookmarkEnd w:id="3"/>
    <w:p w14:paraId="36FDEFEF" w14:textId="77777777" w:rsidR="002F0FD3" w:rsidRDefault="002F0FD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F0FD3" w14:paraId="07B134C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6EA6DA1" w14:textId="77777777" w:rsidR="002F0FD3" w:rsidRDefault="002F0FD3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A7C901B" w14:textId="77777777" w:rsidR="002F0FD3" w:rsidRDefault="002F0FD3">
            <w:pPr>
              <w:pStyle w:val="a7"/>
              <w:jc w:val="right"/>
            </w:pPr>
            <w:r>
              <w:t>А.О. Котяков</w:t>
            </w:r>
          </w:p>
        </w:tc>
      </w:tr>
    </w:tbl>
    <w:p w14:paraId="34417488" w14:textId="77777777" w:rsidR="002F0FD3" w:rsidRDefault="002F0FD3"/>
    <w:p w14:paraId="4E204385" w14:textId="77777777" w:rsidR="002F0FD3" w:rsidRDefault="002F0FD3">
      <w:pPr>
        <w:pStyle w:val="a8"/>
      </w:pPr>
      <w:r>
        <w:t>Зарегистрировано в Минюсте РФ 24 июля 2020 г.</w:t>
      </w:r>
    </w:p>
    <w:p w14:paraId="46CB3569" w14:textId="77777777" w:rsidR="002F0FD3" w:rsidRDefault="002F0FD3">
      <w:pPr>
        <w:pStyle w:val="a8"/>
      </w:pPr>
      <w:r>
        <w:t>Регистрационный N 59058</w:t>
      </w:r>
    </w:p>
    <w:p w14:paraId="7CCCCCCA" w14:textId="77777777" w:rsidR="002F0FD3" w:rsidRDefault="002F0FD3"/>
    <w:p w14:paraId="57D964CE" w14:textId="77777777" w:rsidR="003B2A60" w:rsidRDefault="003B2A60">
      <w:pPr>
        <w:ind w:firstLine="698"/>
        <w:jc w:val="right"/>
        <w:rPr>
          <w:rStyle w:val="a3"/>
          <w:bCs/>
        </w:rPr>
      </w:pPr>
      <w:bookmarkStart w:id="4" w:name="sub_1000"/>
    </w:p>
    <w:p w14:paraId="49FD23C1" w14:textId="77777777" w:rsidR="003B2A60" w:rsidRDefault="003B2A60">
      <w:pPr>
        <w:ind w:firstLine="698"/>
        <w:jc w:val="right"/>
        <w:rPr>
          <w:rStyle w:val="a3"/>
          <w:bCs/>
        </w:rPr>
      </w:pPr>
    </w:p>
    <w:p w14:paraId="0F5172B1" w14:textId="77777777" w:rsidR="003B2A60" w:rsidRDefault="003B2A60">
      <w:pPr>
        <w:ind w:firstLine="698"/>
        <w:jc w:val="right"/>
        <w:rPr>
          <w:rStyle w:val="a3"/>
          <w:bCs/>
        </w:rPr>
      </w:pPr>
    </w:p>
    <w:p w14:paraId="42A9A008" w14:textId="77777777" w:rsidR="003B2A60" w:rsidRDefault="003B2A60">
      <w:pPr>
        <w:ind w:firstLine="698"/>
        <w:jc w:val="right"/>
        <w:rPr>
          <w:rStyle w:val="a3"/>
          <w:bCs/>
        </w:rPr>
      </w:pPr>
    </w:p>
    <w:p w14:paraId="006D216F" w14:textId="77777777" w:rsidR="003B2A60" w:rsidRDefault="003B2A60">
      <w:pPr>
        <w:ind w:firstLine="698"/>
        <w:jc w:val="right"/>
        <w:rPr>
          <w:rStyle w:val="a3"/>
          <w:bCs/>
        </w:rPr>
      </w:pPr>
    </w:p>
    <w:p w14:paraId="75A86095" w14:textId="77777777" w:rsidR="003B2A60" w:rsidRDefault="003B2A60">
      <w:pPr>
        <w:ind w:firstLine="698"/>
        <w:jc w:val="right"/>
        <w:rPr>
          <w:rStyle w:val="a3"/>
          <w:bCs/>
        </w:rPr>
      </w:pPr>
    </w:p>
    <w:p w14:paraId="578E3C59" w14:textId="77777777" w:rsidR="003B2A60" w:rsidRDefault="003B2A60">
      <w:pPr>
        <w:ind w:firstLine="698"/>
        <w:jc w:val="right"/>
        <w:rPr>
          <w:rStyle w:val="a3"/>
          <w:bCs/>
        </w:rPr>
      </w:pPr>
    </w:p>
    <w:p w14:paraId="06AE1041" w14:textId="77777777" w:rsidR="002F0FD3" w:rsidRDefault="002F0FD3">
      <w:pPr>
        <w:ind w:firstLine="698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труда</w:t>
      </w:r>
      <w:r>
        <w:rPr>
          <w:rStyle w:val="a3"/>
          <w:bCs/>
        </w:rPr>
        <w:br/>
        <w:t>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"23" июня 2020 г. N 365н</w:t>
      </w:r>
    </w:p>
    <w:bookmarkEnd w:id="4"/>
    <w:p w14:paraId="5EB252FF" w14:textId="77777777" w:rsidR="003B2A60" w:rsidRDefault="003B2A60" w:rsidP="003B2A60">
      <w:pPr>
        <w:pStyle w:val="1"/>
        <w:jc w:val="both"/>
      </w:pPr>
    </w:p>
    <w:p w14:paraId="7A26E21D" w14:textId="77777777" w:rsidR="002F0FD3" w:rsidRDefault="002F0FD3">
      <w:pPr>
        <w:pStyle w:val="1"/>
      </w:pPr>
      <w:r>
        <w:t>Изменения, которые вносятся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</w:t>
      </w:r>
    </w:p>
    <w:p w14:paraId="40BD7ECD" w14:textId="77777777" w:rsidR="002F0FD3" w:rsidRDefault="002F0FD3"/>
    <w:p w14:paraId="40B65983" w14:textId="77777777" w:rsidR="002F0FD3" w:rsidRDefault="002F0FD3">
      <w:r>
        <w:t xml:space="preserve">В </w:t>
      </w:r>
      <w:hyperlink r:id="rId19" w:history="1">
        <w:r>
          <w:rPr>
            <w:rStyle w:val="a4"/>
            <w:rFonts w:cs="Times New Roman CYR"/>
          </w:rPr>
          <w:t>Правилах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</w:t>
      </w:r>
      <w:hyperlink r:id="rId2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Минтруда России от 10 декабря 2012 г. N 580н (далее - Правила):</w:t>
      </w:r>
    </w:p>
    <w:p w14:paraId="2E94C4AB" w14:textId="77777777" w:rsidR="002F0FD3" w:rsidRDefault="002F0FD3">
      <w:bookmarkStart w:id="5" w:name="sub_1001"/>
      <w:r>
        <w:t xml:space="preserve">1) </w:t>
      </w:r>
      <w:hyperlink r:id="rId21" w:history="1">
        <w:r>
          <w:rPr>
            <w:rStyle w:val="a4"/>
            <w:rFonts w:cs="Times New Roman CYR"/>
          </w:rPr>
          <w:t>пункт 3</w:t>
        </w:r>
      </w:hyperlink>
      <w:r>
        <w:t xml:space="preserve"> дополнить </w:t>
      </w:r>
      <w:hyperlink r:id="rId22" w:history="1">
        <w:r>
          <w:rPr>
            <w:rStyle w:val="a4"/>
            <w:rFonts w:cs="Times New Roman CYR"/>
          </w:rPr>
          <w:t>пунктом 3.1</w:t>
        </w:r>
      </w:hyperlink>
      <w:r>
        <w:t xml:space="preserve"> следующего содержания:</w:t>
      </w:r>
    </w:p>
    <w:p w14:paraId="1C4991F0" w14:textId="77777777" w:rsidR="002F0FD3" w:rsidRDefault="002F0FD3">
      <w:bookmarkStart w:id="6" w:name="sub_31"/>
      <w:bookmarkEnd w:id="5"/>
      <w:r>
        <w:t>"3.1. Финансовому обеспечению в 2020 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 w14:paraId="4D707868" w14:textId="77777777" w:rsidR="002F0FD3" w:rsidRDefault="002F0FD3">
      <w:bookmarkStart w:id="7" w:name="sub_311"/>
      <w:bookmarkEnd w:id="6"/>
      <w: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14:paraId="6EC80DE9" w14:textId="77777777" w:rsidR="002F0FD3" w:rsidRDefault="002F0FD3">
      <w:bookmarkStart w:id="8" w:name="sub_312"/>
      <w:bookmarkEnd w:id="7"/>
      <w: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14:paraId="0BCAA593" w14:textId="77777777" w:rsidR="002F0FD3" w:rsidRDefault="002F0FD3">
      <w:bookmarkStart w:id="9" w:name="sub_313"/>
      <w:bookmarkEnd w:id="8"/>
      <w:r>
        <w:t>в) 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14:paraId="783EAAAD" w14:textId="77777777" w:rsidR="002F0FD3" w:rsidRDefault="002F0FD3">
      <w:bookmarkStart w:id="10" w:name="sub_314"/>
      <w:bookmarkEnd w:id="9"/>
      <w:r>
        <w:t>г) приобретение устройств (оборудования) для бесконтактного контроля температуры тела работника и (или) термометров;</w:t>
      </w:r>
    </w:p>
    <w:p w14:paraId="1726AA7B" w14:textId="77777777" w:rsidR="002F0FD3" w:rsidRDefault="002F0FD3">
      <w:bookmarkStart w:id="11" w:name="sub_315"/>
      <w:bookmarkEnd w:id="10"/>
      <w:r>
        <w:t>д) проведение лабораторного обследования работников на COVID-19.";</w:t>
      </w:r>
    </w:p>
    <w:p w14:paraId="4166FF6F" w14:textId="77777777" w:rsidR="002F0FD3" w:rsidRDefault="002F0FD3">
      <w:bookmarkStart w:id="12" w:name="sub_1002"/>
      <w:bookmarkEnd w:id="11"/>
      <w:r>
        <w:t xml:space="preserve">2) </w:t>
      </w:r>
      <w:hyperlink r:id="rId23" w:history="1">
        <w:r>
          <w:rPr>
            <w:rStyle w:val="a4"/>
            <w:rFonts w:cs="Times New Roman CYR"/>
          </w:rPr>
          <w:t>пункт 4</w:t>
        </w:r>
      </w:hyperlink>
      <w:r>
        <w:t xml:space="preserve"> дополнить </w:t>
      </w:r>
      <w:hyperlink r:id="rId24" w:history="1">
        <w:r>
          <w:rPr>
            <w:rStyle w:val="a4"/>
            <w:rFonts w:cs="Times New Roman CYR"/>
          </w:rPr>
          <w:t>пунктом 4.1</w:t>
        </w:r>
      </w:hyperlink>
      <w:r>
        <w:t xml:space="preserve"> следующего содержания:</w:t>
      </w:r>
    </w:p>
    <w:p w14:paraId="27621B7E" w14:textId="77777777" w:rsidR="002F0FD3" w:rsidRDefault="002F0FD3">
      <w:bookmarkStart w:id="13" w:name="sub_41"/>
      <w:bookmarkEnd w:id="12"/>
      <w: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14:paraId="79C58643" w14:textId="77777777" w:rsidR="002F0FD3" w:rsidRDefault="002F0FD3">
      <w:bookmarkStart w:id="14" w:name="sub_411"/>
      <w:bookmarkEnd w:id="13"/>
      <w: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bookmarkEnd w:id="14"/>
    <w:p w14:paraId="29BCC236" w14:textId="77777777" w:rsidR="002F0FD3" w:rsidRDefault="002F0FD3">
      <w:r>
        <w:t>перечень приобретаемых средств защиты с указанием их количества, стоимости, даты изготовления и срока годности;</w:t>
      </w:r>
    </w:p>
    <w:p w14:paraId="49734D7C" w14:textId="77777777" w:rsidR="002F0FD3" w:rsidRDefault="002F0FD3"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14:paraId="67706CE7" w14:textId="77777777" w:rsidR="002F0FD3" w:rsidRDefault="002F0FD3">
      <w:bookmarkStart w:id="15" w:name="sub_412"/>
      <w:r>
        <w:t xml:space="preserve">б) в случае включения в план финансового обеспечения предупредительных мер </w:t>
      </w:r>
      <w:r>
        <w:lastRenderedPageBreak/>
        <w:t>мероприятий, предусмотренных подпунктом "б" пункта 3.1 Правил:</w:t>
      </w:r>
    </w:p>
    <w:bookmarkEnd w:id="15"/>
    <w:p w14:paraId="5F0ED878" w14:textId="77777777" w:rsidR="002F0FD3" w:rsidRDefault="002F0FD3">
      <w: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14:paraId="57936BC7" w14:textId="77777777" w:rsidR="002F0FD3" w:rsidRDefault="002F0FD3">
      <w:r>
        <w:t>перечень приобретаемых дозирующих устройств с указанием их количества и стоимости;</w:t>
      </w:r>
    </w:p>
    <w:p w14:paraId="4D9A989E" w14:textId="77777777" w:rsidR="002F0FD3" w:rsidRDefault="002F0FD3"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14:paraId="3EDDD1BF" w14:textId="77777777" w:rsidR="002F0FD3" w:rsidRDefault="002F0FD3">
      <w:bookmarkStart w:id="16" w:name="sub_413"/>
      <w: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bookmarkEnd w:id="16"/>
    <w:p w14:paraId="5EC458E3" w14:textId="77777777" w:rsidR="002F0FD3" w:rsidRDefault="002F0FD3">
      <w:r>
        <w:t>перечень приобретаемых дезинфицирующих средств вирулицидного действия с указанием их количества, стоимости, даты изготовления и срока годности;</w:t>
      </w:r>
    </w:p>
    <w:p w14:paraId="2D92E7C3" w14:textId="77777777" w:rsidR="002F0FD3" w:rsidRDefault="002F0FD3">
      <w:r>
        <w:t>перечень приобретаемых устройств (оборудования),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</w:t>
      </w:r>
    </w:p>
    <w:p w14:paraId="77D201DF" w14:textId="77777777" w:rsidR="002F0FD3" w:rsidRDefault="002F0FD3">
      <w:r>
        <w:t>копии регистрационных удостоверений на приобретаемые рециркуляторы воздуха;</w:t>
      </w:r>
    </w:p>
    <w:p w14:paraId="4E9EC6A4" w14:textId="77777777" w:rsidR="002F0FD3" w:rsidRDefault="002F0FD3"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 (декларированию);</w:t>
      </w:r>
    </w:p>
    <w:p w14:paraId="3C375A85" w14:textId="77777777" w:rsidR="002F0FD3" w:rsidRDefault="002F0FD3">
      <w:bookmarkStart w:id="17" w:name="sub_414"/>
      <w: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bookmarkEnd w:id="17"/>
    <w:p w14:paraId="32986B19" w14:textId="77777777" w:rsidR="002F0FD3" w:rsidRDefault="002F0FD3">
      <w: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14:paraId="1C515C33" w14:textId="77777777" w:rsidR="002F0FD3" w:rsidRDefault="002F0FD3"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14:paraId="784ADA41" w14:textId="77777777" w:rsidR="002F0FD3" w:rsidRDefault="002F0FD3">
      <w:bookmarkStart w:id="18" w:name="sub_415"/>
      <w: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bookmarkEnd w:id="18"/>
    <w:p w14:paraId="6AA3E5A0" w14:textId="77777777" w:rsidR="002F0FD3" w:rsidRDefault="002F0FD3">
      <w:r>
        <w:t>копию списка работников, направляемых на обследование на COVID-19;</w:t>
      </w:r>
    </w:p>
    <w:p w14:paraId="2CAD0843" w14:textId="77777777" w:rsidR="002F0FD3" w:rsidRDefault="002F0FD3">
      <w: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14:paraId="0522C3B7" w14:textId="77777777" w:rsidR="002F0FD3" w:rsidRDefault="002F0FD3">
      <w: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14:paraId="21BB0100" w14:textId="77777777" w:rsidR="002F0FD3" w:rsidRDefault="002F0FD3">
      <w:r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14:paraId="1E221559" w14:textId="77777777" w:rsidR="002F0FD3" w:rsidRDefault="002F0FD3"/>
    <w:sectPr w:rsidR="002F0FD3" w:rsidSect="003B2A60">
      <w:headerReference w:type="default" r:id="rId25"/>
      <w:footerReference w:type="default" r:id="rId26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E585" w14:textId="77777777" w:rsidR="0098708D" w:rsidRDefault="0098708D">
      <w:r>
        <w:separator/>
      </w:r>
    </w:p>
  </w:endnote>
  <w:endnote w:type="continuationSeparator" w:id="0">
    <w:p w14:paraId="6400E09E" w14:textId="77777777" w:rsidR="0098708D" w:rsidRDefault="009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88C1" w14:textId="77777777" w:rsidR="00000000" w:rsidRDefault="00987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A36A" w14:textId="77777777" w:rsidR="0098708D" w:rsidRDefault="0098708D">
      <w:r>
        <w:separator/>
      </w:r>
    </w:p>
  </w:footnote>
  <w:footnote w:type="continuationSeparator" w:id="0">
    <w:p w14:paraId="639782A9" w14:textId="77777777" w:rsidR="0098708D" w:rsidRDefault="0098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BB25" w14:textId="77777777" w:rsidR="002F0FD3" w:rsidRDefault="002F0FD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60"/>
    <w:rsid w:val="0005467A"/>
    <w:rsid w:val="002F0FD3"/>
    <w:rsid w:val="003B2A60"/>
    <w:rsid w:val="009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B22C76"/>
  <w14:defaultImageDpi w14:val="0"/>
  <w15:docId w15:val="{B43B5BF6-9A5D-4642-BD5F-72DEBC70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92438/15235" TargetMode="External"/><Relationship Id="rId13" Type="http://schemas.openxmlformats.org/officeDocument/2006/relationships/hyperlink" Target="http://mobileonline.garant.ru/document/redirect/70618396/29" TargetMode="External"/><Relationship Id="rId18" Type="http://schemas.openxmlformats.org/officeDocument/2006/relationships/hyperlink" Target="http://mobileonline.garant.ru/document/redirect/72149968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0297282/1003" TargetMode="External"/><Relationship Id="rId7" Type="http://schemas.openxmlformats.org/officeDocument/2006/relationships/hyperlink" Target="http://mobileonline.garant.ru/document/redirect/12112505/1816" TargetMode="External"/><Relationship Id="rId12" Type="http://schemas.openxmlformats.org/officeDocument/2006/relationships/hyperlink" Target="http://mobileonline.garant.ru/document/redirect/70410194/0" TargetMode="External"/><Relationship Id="rId17" Type="http://schemas.openxmlformats.org/officeDocument/2006/relationships/hyperlink" Target="http://mobileonline.garant.ru/document/redirect/72059692/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838962/1000" TargetMode="External"/><Relationship Id="rId20" Type="http://schemas.openxmlformats.org/officeDocument/2006/relationships/hyperlink" Target="http://mobileonline.garant.ru/document/redirect/7029728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297282/0" TargetMode="External"/><Relationship Id="rId24" Type="http://schemas.openxmlformats.org/officeDocument/2006/relationships/hyperlink" Target="http://mobileonline.garant.ru/document/redirect/70297282/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461724/0" TargetMode="External"/><Relationship Id="rId23" Type="http://schemas.openxmlformats.org/officeDocument/2006/relationships/hyperlink" Target="http://mobileonline.garant.ru/document/redirect/70297282/10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70297282/1000" TargetMode="External"/><Relationship Id="rId19" Type="http://schemas.openxmlformats.org/officeDocument/2006/relationships/hyperlink" Target="http://mobileonline.garant.ru/document/redirect/7029728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192438/0" TargetMode="External"/><Relationship Id="rId14" Type="http://schemas.openxmlformats.org/officeDocument/2006/relationships/hyperlink" Target="http://mobileonline.garant.ru/document/redirect/71456898/13" TargetMode="External"/><Relationship Id="rId22" Type="http://schemas.openxmlformats.org/officeDocument/2006/relationships/hyperlink" Target="http://mobileonline.garant.ru/document/redirect/70297282/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Настя Настя</cp:lastModifiedBy>
  <cp:revision>2</cp:revision>
  <dcterms:created xsi:type="dcterms:W3CDTF">2020-10-26T08:38:00Z</dcterms:created>
  <dcterms:modified xsi:type="dcterms:W3CDTF">2020-10-26T08:38:00Z</dcterms:modified>
</cp:coreProperties>
</file>